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6D5C7">
      <w:pPr>
        <w:spacing w:after="80"/>
        <w:jc w:val="center"/>
      </w:pPr>
      <w:r>
        <w:rPr>
          <w:b/>
          <w:bCs/>
          <w:color w:val="1F4E79"/>
          <w:sz w:val="40"/>
          <w:szCs w:val="40"/>
        </w:rPr>
        <w:t>RETENTION DROP-OFF ANALYSIS</w:t>
      </w:r>
    </w:p>
    <w:p w14:paraId="6DDDCF0C">
      <w:pPr>
        <w:spacing w:after="100"/>
        <w:jc w:val="center"/>
      </w:pPr>
      <w:r>
        <w:rPr>
          <w:color w:val="555555"/>
          <w:sz w:val="24"/>
          <w:szCs w:val="24"/>
        </w:rPr>
        <w:t>"The Hidden Room" Storyboard — Real Estate Company</w:t>
      </w:r>
    </w:p>
    <w:p w14:paraId="1A518BF2">
      <w:pPr>
        <w:spacing w:after="260"/>
      </w:pPr>
      <w:bookmarkStart w:id="0" w:name="_GoBack"/>
      <w:bookmarkEnd w:id="0"/>
    </w:p>
    <w:p w14:paraId="7BC454EA">
      <w:pPr>
        <w:spacing w:before="320" w:after="120"/>
      </w:pPr>
      <w:r>
        <w:rPr>
          <w:b/>
          <w:bCs/>
          <w:color w:val="1F4E79"/>
          <w:sz w:val="28"/>
          <w:szCs w:val="28"/>
        </w:rPr>
        <w:t>DROP-OFF RISK BY STORY BEAT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700"/>
        <w:gridCol w:w="2900"/>
        <w:gridCol w:w="3460"/>
      </w:tblGrid>
      <w:tr w14:paraId="2217E40B">
        <w:tblPrEx>
          <w:tblLayout w:type="fixed"/>
        </w:tblPrEx>
        <w:tc>
          <w:tcPr>
            <w:tcW w:w="13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1F4E79"/>
          </w:tcPr>
          <w:p w14:paraId="246559C0">
            <w:pPr/>
            <w:r>
              <w:rPr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17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1F4E79"/>
          </w:tcPr>
          <w:p w14:paraId="2D222F59">
            <w:pPr/>
            <w:r>
              <w:rPr>
                <w:b/>
                <w:bCs/>
                <w:color w:val="FFFFFF"/>
                <w:sz w:val="18"/>
                <w:szCs w:val="18"/>
              </w:rPr>
              <w:t>Story Beat</w:t>
            </w:r>
          </w:p>
        </w:tc>
        <w:tc>
          <w:tcPr>
            <w:tcW w:w="29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1F4E79"/>
          </w:tcPr>
          <w:p w14:paraId="60107280">
            <w:pPr/>
            <w:r>
              <w:rPr>
                <w:b/>
                <w:bCs/>
                <w:color w:val="FFFFFF"/>
                <w:sz w:val="18"/>
                <w:szCs w:val="18"/>
              </w:rPr>
              <w:t>Drop-off Risk Analysis</w:t>
            </w:r>
          </w:p>
        </w:tc>
        <w:tc>
          <w:tcPr>
            <w:tcW w:w="346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1F4E79"/>
          </w:tcPr>
          <w:p w14:paraId="29BB73E4">
            <w:pPr/>
          </w:p>
        </w:tc>
      </w:tr>
      <w:tr w14:paraId="285120D6">
        <w:tblPrEx>
          <w:tblLayout w:type="fixed"/>
        </w:tblPrEx>
        <w:trPr>
          <w:gridAfter w:val="1"/>
          <w:wAfter w:w="3460" w:type="dxa"/>
        </w:trPr>
        <w:tc>
          <w:tcPr>
            <w:tcW w:w="13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FF2CC"/>
          </w:tcPr>
          <w:p w14:paraId="0B88491D">
            <w:pPr/>
            <w:r>
              <w:rPr>
                <w:sz w:val="18"/>
                <w:szCs w:val="18"/>
              </w:rPr>
              <w:t>0:00-0:03</w:t>
            </w:r>
          </w:p>
        </w:tc>
        <w:tc>
          <w:tcPr>
            <w:tcW w:w="17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FF2CC"/>
          </w:tcPr>
          <w:p w14:paraId="1A1FFE58">
            <w:pPr/>
            <w:r>
              <w:rPr>
                <w:sz w:val="18"/>
                <w:szCs w:val="18"/>
              </w:rPr>
              <w:t>HOOK</w:t>
            </w:r>
          </w:p>
        </w:tc>
        <w:tc>
          <w:tcPr>
            <w:tcW w:w="29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FF2CC"/>
          </w:tcPr>
          <w:p w14:paraId="5713106E">
            <w:pPr/>
            <w:r>
              <w:rPr>
                <w:sz w:val="18"/>
                <w:szCs w:val="18"/>
              </w:rPr>
              <w:t>Lowest risk point — but if the mystery line lands flat or feels staged, viewers scroll immediately. This is the single highest-leverage 3 seconds in the whole video.</w:t>
            </w:r>
          </w:p>
        </w:tc>
      </w:tr>
      <w:tr w14:paraId="7849AB0F">
        <w:tblPrEx>
          <w:tblLayout w:type="fixed"/>
        </w:tblPrEx>
        <w:trPr>
          <w:gridAfter w:val="1"/>
          <w:wAfter w:w="3460" w:type="dxa"/>
        </w:trPr>
        <w:tc>
          <w:tcPr>
            <w:tcW w:w="13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CE4D6"/>
          </w:tcPr>
          <w:p w14:paraId="674910BC">
            <w:pPr/>
            <w:r>
              <w:rPr>
                <w:sz w:val="18"/>
                <w:szCs w:val="18"/>
              </w:rPr>
              <w:t>0:03-0:10</w:t>
            </w:r>
          </w:p>
        </w:tc>
        <w:tc>
          <w:tcPr>
            <w:tcW w:w="17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CE4D6"/>
          </w:tcPr>
          <w:p w14:paraId="2DFCAE87">
            <w:pPr/>
            <w:r>
              <w:rPr>
                <w:sz w:val="18"/>
                <w:szCs w:val="18"/>
              </w:rPr>
              <w:t>SUSPENSE</w:t>
            </w:r>
          </w:p>
        </w:tc>
        <w:tc>
          <w:tcPr>
            <w:tcW w:w="29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CE4D6"/>
          </w:tcPr>
          <w:p w14:paraId="07AD328B">
            <w:pPr/>
            <w:r>
              <w:rPr>
                <w:sz w:val="18"/>
                <w:szCs w:val="18"/>
              </w:rPr>
              <w:t>First real drop-off risk. If the hallway walk drags or feels repetitive with no new information, curiosity fades before the payoff arrives.</w:t>
            </w:r>
          </w:p>
        </w:tc>
      </w:tr>
      <w:tr w14:paraId="411EA46A">
        <w:tblPrEx>
          <w:tblLayout w:type="fixed"/>
        </w:tblPrEx>
        <w:trPr>
          <w:gridAfter w:val="1"/>
          <w:wAfter w:w="3460" w:type="dxa"/>
        </w:trPr>
        <w:tc>
          <w:tcPr>
            <w:tcW w:w="13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4CCCC"/>
          </w:tcPr>
          <w:p w14:paraId="68F49A86">
            <w:pPr/>
            <w:r>
              <w:rPr>
                <w:sz w:val="18"/>
                <w:szCs w:val="18"/>
              </w:rPr>
              <w:t>0:10-0:20</w:t>
            </w:r>
          </w:p>
        </w:tc>
        <w:tc>
          <w:tcPr>
            <w:tcW w:w="17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4CCCC"/>
          </w:tcPr>
          <w:p w14:paraId="35DC714E">
            <w:pPr/>
            <w:r>
              <w:rPr>
                <w:sz w:val="18"/>
                <w:szCs w:val="18"/>
              </w:rPr>
              <w:t>RAISE THE STAKES</w:t>
            </w:r>
          </w:p>
        </w:tc>
        <w:tc>
          <w:tcPr>
            <w:tcW w:w="29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4CCCC"/>
          </w:tcPr>
          <w:p w14:paraId="1C0B7D29">
            <w:pPr/>
            <w:r>
              <w:rPr>
                <w:sz w:val="18"/>
                <w:szCs w:val="18"/>
              </w:rPr>
              <w:t>Highest drop-off risk in the video. This beat exists purely to delay gratification — if it's stretched even 2-3 seconds too long, impatient viewers leave right before the reward.</w:t>
            </w:r>
          </w:p>
        </w:tc>
      </w:tr>
      <w:tr w14:paraId="545D1C5B">
        <w:tblPrEx>
          <w:tblLayout w:type="fixed"/>
        </w:tblPrEx>
        <w:trPr>
          <w:gridAfter w:val="1"/>
          <w:wAfter w:w="3460" w:type="dxa"/>
        </w:trPr>
        <w:tc>
          <w:tcPr>
            <w:tcW w:w="13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FF2CC"/>
          </w:tcPr>
          <w:p w14:paraId="7DCE3EA8">
            <w:pPr/>
            <w:r>
              <w:rPr>
                <w:sz w:val="18"/>
                <w:szCs w:val="18"/>
              </w:rPr>
              <w:t>0:20-0:28</w:t>
            </w:r>
          </w:p>
        </w:tc>
        <w:tc>
          <w:tcPr>
            <w:tcW w:w="17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FF2CC"/>
          </w:tcPr>
          <w:p w14:paraId="5E435198">
            <w:pPr/>
            <w:r>
              <w:rPr>
                <w:sz w:val="18"/>
                <w:szCs w:val="18"/>
              </w:rPr>
              <w:t>PAYOFF / RESOLVE</w:t>
            </w:r>
          </w:p>
        </w:tc>
        <w:tc>
          <w:tcPr>
            <w:tcW w:w="29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FF2CC"/>
          </w:tcPr>
          <w:p w14:paraId="3D052984">
            <w:pPr/>
            <w:r>
              <w:rPr>
                <w:sz w:val="18"/>
                <w:szCs w:val="18"/>
              </w:rPr>
              <w:t>Drop-off risk falls sharply here IF the reveal matches the buildup. A weak or expected reveal (e.g. just a normal balcony) causes delayed drop-off — viewers finish but don't rewatch or share.</w:t>
            </w:r>
          </w:p>
        </w:tc>
      </w:tr>
      <w:tr w14:paraId="1DD4CE03">
        <w:tblPrEx>
          <w:tblLayout w:type="fixed"/>
        </w:tblPrEx>
        <w:trPr>
          <w:gridAfter w:val="1"/>
          <w:wAfter w:w="3460" w:type="dxa"/>
        </w:trPr>
        <w:tc>
          <w:tcPr>
            <w:tcW w:w="13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D9EAD3"/>
          </w:tcPr>
          <w:p w14:paraId="184FAC68">
            <w:pPr/>
            <w:r>
              <w:rPr>
                <w:sz w:val="18"/>
                <w:szCs w:val="18"/>
              </w:rPr>
              <w:t>0:28-0:35</w:t>
            </w:r>
          </w:p>
        </w:tc>
        <w:tc>
          <w:tcPr>
            <w:tcW w:w="17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D9EAD3"/>
          </w:tcPr>
          <w:p w14:paraId="7DA5FF20">
            <w:pPr/>
            <w:r>
              <w:rPr>
                <w:sz w:val="18"/>
                <w:szCs w:val="18"/>
              </w:rPr>
              <w:t>ENTERTAINING BEAT</w:t>
            </w:r>
          </w:p>
        </w:tc>
        <w:tc>
          <w:tcPr>
            <w:tcW w:w="29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D9EAD3"/>
          </w:tcPr>
          <w:p w14:paraId="3AE4C92C">
            <w:pPr/>
            <w:r>
              <w:rPr>
                <w:sz w:val="18"/>
                <w:szCs w:val="18"/>
              </w:rPr>
              <w:t>Low risk, but skippable — some viewers who got their answer at the payoff exit here since their curiosity is resolved and the humor beat isn't essential to them.</w:t>
            </w:r>
          </w:p>
        </w:tc>
      </w:tr>
      <w:tr w14:paraId="71CF6C41">
        <w:tblPrEx>
          <w:tblLayout w:type="fixed"/>
        </w:tblPrEx>
        <w:trPr>
          <w:gridAfter w:val="1"/>
          <w:wAfter w:w="3460" w:type="dxa"/>
        </w:trPr>
        <w:tc>
          <w:tcPr>
            <w:tcW w:w="13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4CCCC"/>
          </w:tcPr>
          <w:p w14:paraId="2130825E">
            <w:pPr/>
            <w:r>
              <w:rPr>
                <w:sz w:val="18"/>
                <w:szCs w:val="18"/>
              </w:rPr>
              <w:t>0:35-0:45</w:t>
            </w:r>
          </w:p>
        </w:tc>
        <w:tc>
          <w:tcPr>
            <w:tcW w:w="17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4CCCC"/>
          </w:tcPr>
          <w:p w14:paraId="363A5594">
            <w:pPr/>
            <w:r>
              <w:rPr>
                <w:sz w:val="18"/>
                <w:szCs w:val="18"/>
              </w:rPr>
              <w:t>ENGAGEMENT / CTA</w:t>
            </w:r>
          </w:p>
        </w:tc>
        <w:tc>
          <w:tcPr>
            <w:tcW w:w="29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F4CCCC"/>
          </w:tcPr>
          <w:p w14:paraId="031574D3">
            <w:pPr/>
            <w:r>
              <w:rPr>
                <w:sz w:val="18"/>
                <w:szCs w:val="18"/>
              </w:rPr>
              <w:t>Second-highest drop-off point. This is where most real estate videos lose viewers, since the CTA feels like the video is 'over' and shifting into a sales pitch.</w:t>
            </w:r>
          </w:p>
        </w:tc>
      </w:tr>
    </w:tbl>
    <w:p w14:paraId="23DE7D3A">
      <w:pPr>
        <w:spacing w:before="320" w:after="120"/>
      </w:pPr>
      <w:r>
        <w:rPr>
          <w:b/>
          <w:bCs/>
          <w:color w:val="1F4E79"/>
          <w:sz w:val="28"/>
          <w:szCs w:val="28"/>
        </w:rPr>
        <w:t>BIGGEST RISK: THE STAKES-RAISING BEAT (0:10-0:20)</w:t>
      </w:r>
    </w:p>
    <w:p w14:paraId="7816877D">
      <w:pPr>
        <w:spacing w:after="160"/>
      </w:pPr>
      <w:r>
        <w:rPr>
          <w:sz w:val="22"/>
          <w:szCs w:val="22"/>
        </w:rPr>
        <w:t>This is the most fragile part of the structure. Suspense only works if the delay feels justified — the moment it feels artificially stretched, viewers assume there's no real payoff coming and leave. Keep this beat under 8 seconds in the final edit, and make sure something visibly changes every 1-2 seconds (a reaction, a sound cue, a partial glimpse) so it doesn't read as dead air.</w:t>
      </w:r>
    </w:p>
    <w:p w14:paraId="17F2797E">
      <w:pPr>
        <w:spacing w:before="320" w:after="120"/>
      </w:pPr>
      <w:r>
        <w:rPr>
          <w:b/>
          <w:bCs/>
          <w:color w:val="1F4E79"/>
          <w:sz w:val="28"/>
          <w:szCs w:val="28"/>
        </w:rPr>
        <w:t>SECOND BIGGEST RISK: THE CTA TRANSITION (0:35-0:45)</w:t>
      </w:r>
    </w:p>
    <w:p w14:paraId="54C35C1B">
      <w:pPr>
        <w:spacing w:after="160"/>
      </w:pPr>
      <w:r>
        <w:rPr>
          <w:sz w:val="22"/>
          <w:szCs w:val="22"/>
        </w:rPr>
        <w:t>Viewers who came for the story, not the sale, tend to exit the moment tone shifts to promotional. To reduce this drop-off, keep the CTA inside the same voice/energy as the story (the agent still speaking casually, not switching into an ad-read tone), and place the price/CTA text on screen so viewers who leave early still absorb the offer.</w:t>
      </w:r>
    </w:p>
    <w:p w14:paraId="74534C8E">
      <w:pPr>
        <w:spacing w:before="320" w:after="120"/>
      </w:pPr>
      <w:r>
        <w:rPr>
          <w:b/>
          <w:bCs/>
          <w:color w:val="1F4E79"/>
          <w:sz w:val="28"/>
          <w:szCs w:val="28"/>
        </w:rPr>
        <w:t>RECOMMENDED EDITS BEFORE FILMING</w:t>
      </w:r>
    </w:p>
    <w:p w14:paraId="4E640B41">
      <w:pPr>
        <w:spacing w:after="160"/>
      </w:pPr>
      <w:r>
        <w:rPr>
          <w:sz w:val="22"/>
          <w:szCs w:val="22"/>
        </w:rPr>
        <w:t>1. Trim the suspense beat (0:03-0:10) to feel brisk, not slow — 2-3 fast cuts rather than one long walk.</w:t>
      </w:r>
    </w:p>
    <w:p w14:paraId="0877E8AB">
      <w:pPr>
        <w:spacing w:after="160"/>
      </w:pPr>
      <w:r>
        <w:rPr>
          <w:sz w:val="22"/>
          <w:szCs w:val="22"/>
        </w:rPr>
        <w:t>2. Cap the stakes-raising beat (0:10-0:20) at 6-8 seconds max, with a visible reaction change every couple seconds.</w:t>
      </w:r>
    </w:p>
    <w:p w14:paraId="40884F3F">
      <w:pPr>
        <w:spacing w:after="160"/>
      </w:pPr>
      <w:r>
        <w:rPr>
          <w:sz w:val="22"/>
          <w:szCs w:val="22"/>
        </w:rPr>
        <w:t>3. Make sure the payoff genuinely surprises — if the reveal is just "a nice balcony," the buildup won't have earned its length.</w:t>
      </w:r>
    </w:p>
    <w:p w14:paraId="3CBC4C0F">
      <w:pPr>
        <w:spacing w:after="160"/>
      </w:pPr>
      <w:r>
        <w:rPr>
          <w:sz w:val="22"/>
          <w:szCs w:val="22"/>
        </w:rPr>
        <w:t>4. Keep the CTA delivered in the same tone as the story, not a tonal shift into sales mode.</w:t>
      </w:r>
    </w:p>
    <w:p w14:paraId="788C8F7C">
      <w:pPr>
        <w:spacing w:before="320" w:after="120"/>
      </w:pPr>
      <w:r>
        <w:rPr>
          <w:b/>
          <w:bCs/>
          <w:color w:val="1F4E79"/>
          <w:sz w:val="28"/>
          <w:szCs w:val="28"/>
        </w:rPr>
        <w:t>NEXT STEP</w:t>
      </w:r>
    </w:p>
    <w:p w14:paraId="7FF9B1F6">
      <w:pPr>
        <w:spacing w:after="160"/>
      </w:pPr>
      <w:r>
        <w:rPr>
          <w:sz w:val="22"/>
          <w:szCs w:val="22"/>
        </w:rPr>
        <w:t>Once filmed and posted, pull the actual Retention graph from Instagram/TikTok analytics and compare it against this predicted risk map — the real drop-off points may confirm or shift these assumptions, and that data should replace this projection.</w:t>
      </w:r>
    </w:p>
    <w:p w14:paraId="51B1813C">
      <w:pPr>
        <w:spacing w:before="320" w:after="120"/>
      </w:pPr>
    </w:p>
    <w:sectPr>
      <w:pgSz w:w="12240" w:h="15840"/>
      <w:pgMar w:top="1080" w:right="1080" w:bottom="1080" w:left="1080" w:header="708" w:footer="708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ompat>
    <w:compatSetting w:name="compatibilityMode" w:uri="http://schemas.microsoft.com/office/word" w:val="15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11">
    <w:name w:val="Default Paragraph Font"/>
    <w:semiHidden/>
    <w:uiPriority w:val="0"/>
  </w:style>
  <w:style w:type="table" w:default="1" w:styleId="1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footnote text"/>
    <w:link w:val="18"/>
    <w:unhideWhenUsed/>
    <w:uiPriority w:val="99"/>
    <w:pPr>
      <w:spacing w:after="0" w:line="240" w:lineRule="auto"/>
    </w:pPr>
    <w:rPr>
      <w:sz w:val="20"/>
      <w:szCs w:val="20"/>
    </w:rPr>
  </w:style>
  <w:style w:type="paragraph" w:styleId="10">
    <w:name w:val="Title"/>
    <w:qFormat/>
    <w:uiPriority w:val="0"/>
    <w:rPr>
      <w:sz w:val="56"/>
      <w:szCs w:val="56"/>
    </w:rPr>
  </w:style>
  <w:style w:type="character" w:styleId="12">
    <w:name w:val="endnote reference"/>
    <w:unhideWhenUsed/>
    <w:uiPriority w:val="99"/>
    <w:rPr>
      <w:vertAlign w:val="superscript"/>
    </w:r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customStyle="1" w:styleId="16">
    <w:name w:val="Strong1"/>
    <w:qFormat/>
    <w:uiPriority w:val="0"/>
    <w:rPr>
      <w:b/>
      <w:bCs/>
      <w:sz w:val="21"/>
      <w:szCs w:val="22"/>
    </w:rPr>
  </w:style>
  <w:style w:type="paragraph" w:customStyle="1" w:styleId="17">
    <w:name w:val="List Paragraph"/>
    <w:qFormat/>
    <w:uiPriority w:val="0"/>
    <w:rPr>
      <w:sz w:val="21"/>
      <w:szCs w:val="22"/>
    </w:rPr>
  </w:style>
  <w:style w:type="character" w:customStyle="1" w:styleId="18">
    <w:name w:val="Footnote Text Char"/>
    <w:link w:val="9"/>
    <w:unhideWhenUsed/>
    <w:uiPriority w:val="99"/>
    <w:rPr>
      <w:sz w:val="20"/>
      <w:szCs w:val="20"/>
    </w:rPr>
  </w:style>
  <w:style w:type="character" w:customStyle="1" w:styleId="19">
    <w:name w:val="Endnote Text Char"/>
    <w:link w:val="8"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Un-named</dc:creator>
  <cp:lastModifiedBy>iPhone</cp:lastModifiedBy>
  <dcterms:modified xsi:type="dcterms:W3CDTF">2026-07-27T19:44:35Z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10C05D0622E3727FC2A6676AC5DA86DD_31</vt:lpwstr>
  </property>
  <property fmtid="{D5CDD505-2E9C-101B-9397-08002B2CF9AE}" pid="3" name="KSOProductBuildVer">
    <vt:lpwstr>3081-26.7.0</vt:lpwstr>
  </property>
</Properties>
</file>