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0768D">
      <w:pPr>
        <w:spacing w:after="80"/>
        <w:jc w:val="center"/>
      </w:pPr>
      <w:r>
        <w:rPr>
          <w:b/>
          <w:bCs/>
          <w:color w:val="1F4E79"/>
          <w:sz w:val="40"/>
          <w:szCs w:val="40"/>
        </w:rPr>
        <w:t>VIRAL STORYBOARD</w:t>
      </w:r>
    </w:p>
    <w:p w14:paraId="448B5004">
      <w:pPr>
        <w:spacing w:after="100"/>
        <w:jc w:val="center"/>
      </w:pPr>
      <w:r>
        <w:rPr>
          <w:color w:val="555555"/>
          <w:sz w:val="24"/>
          <w:szCs w:val="24"/>
        </w:rPr>
        <w:t>"The ₦2m Mistake" — Real Estate Company</w:t>
      </w:r>
    </w:p>
    <w:p w14:paraId="68ECF582">
      <w:pPr>
        <w:spacing w:after="260"/>
      </w:pPr>
      <w:r>
        <w:rPr>
          <w:i/>
          <w:iCs/>
          <w:color w:val="777777"/>
          <w:sz w:val="20"/>
          <w:szCs w:val="20"/>
        </w:rPr>
        <w:t>Built using Jenny Hoyos' VIRAL formula: Visual Shock → Immediately (peak action first) → Rising Action → Anticipation → Lasting Payoff. No unnecessary story beats — only the relevant ones.</w:t>
      </w:r>
    </w:p>
    <w:p w14:paraId="761A4F82">
      <w:pPr>
        <w:spacing w:before="320" w:after="120"/>
      </w:pPr>
      <w:r>
        <w:rPr>
          <w:b/>
          <w:bCs/>
          <w:color w:val="1F4E79"/>
          <w:sz w:val="28"/>
          <w:szCs w:val="28"/>
        </w:rPr>
        <w:t>CONCEPT</w:t>
      </w:r>
    </w:p>
    <w:p w14:paraId="6FE84807">
      <w:pPr>
        <w:spacing w:after="160"/>
      </w:pPr>
      <w:r>
        <w:rPr>
          <w:sz w:val="22"/>
          <w:szCs w:val="22"/>
        </w:rPr>
        <w:t>A cautionary story about a family who under-priced and under-marketed their own home sale, then turned it around with professional help — framed as a mistake-to-fix arc rather than a straight property tour.</w:t>
      </w:r>
    </w:p>
    <w:p w14:paraId="5116DE3E">
      <w:pPr>
        <w:spacing w:before="320" w:after="120"/>
      </w:pPr>
      <w:r>
        <w:rPr>
          <w:b/>
          <w:bCs/>
          <w:color w:val="1F4E79"/>
          <w:sz w:val="28"/>
          <w:szCs w:val="28"/>
        </w:rPr>
        <w:t>STORYBOARD</w:t>
      </w:r>
    </w:p>
    <w:tbl>
      <w:tblPr>
        <w:tblStyle w:val="15"/>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300"/>
        <w:gridCol w:w="2600"/>
        <w:gridCol w:w="2600"/>
        <w:gridCol w:w="2680"/>
      </w:tblGrid>
      <w:tr w14:paraId="2B22E07E">
        <w:tblPrEx>
          <w:tblLayout w:type="fixed"/>
        </w:tblPrEx>
        <w:tc>
          <w:tcPr>
            <w:tcW w:w="900" w:type="dxa"/>
            <w:tcBorders>
              <w:top w:val="single" w:color="BFBFBF" w:sz="2" w:space="0"/>
              <w:left w:val="single" w:color="BFBFBF" w:sz="2" w:space="0"/>
              <w:bottom w:val="single" w:color="BFBFBF" w:sz="2" w:space="0"/>
              <w:right w:val="single" w:color="BFBFBF" w:sz="2" w:space="0"/>
            </w:tcBorders>
            <w:shd w:val="clear" w:color="auto" w:fill="1F4E79"/>
          </w:tcPr>
          <w:p w14:paraId="453391B6">
            <w:pPr/>
            <w:r>
              <w:rPr>
                <w:b/>
                <w:bCs/>
                <w:color w:val="FFFFFF"/>
                <w:sz w:val="18"/>
                <w:szCs w:val="18"/>
              </w:rPr>
              <w:t>Time</w:t>
            </w:r>
          </w:p>
        </w:tc>
        <w:tc>
          <w:tcPr>
            <w:tcW w:w="1300" w:type="dxa"/>
            <w:tcBorders>
              <w:top w:val="single" w:color="BFBFBF" w:sz="2" w:space="0"/>
              <w:left w:val="single" w:color="BFBFBF" w:sz="2" w:space="0"/>
              <w:bottom w:val="single" w:color="BFBFBF" w:sz="2" w:space="0"/>
              <w:right w:val="single" w:color="BFBFBF" w:sz="2" w:space="0"/>
            </w:tcBorders>
            <w:shd w:val="clear" w:color="auto" w:fill="1F4E79"/>
          </w:tcPr>
          <w:p w14:paraId="5294E029">
            <w:pPr/>
            <w:r>
              <w:rPr>
                <w:b/>
                <w:bCs/>
                <w:color w:val="FFFFFF"/>
                <w:sz w:val="18"/>
                <w:szCs w:val="18"/>
              </w:rPr>
              <w:t>VIRAL Beat</w:t>
            </w:r>
          </w:p>
        </w:tc>
        <w:tc>
          <w:tcPr>
            <w:tcW w:w="2600" w:type="dxa"/>
            <w:tcBorders>
              <w:top w:val="single" w:color="BFBFBF" w:sz="2" w:space="0"/>
              <w:left w:val="single" w:color="BFBFBF" w:sz="2" w:space="0"/>
              <w:bottom w:val="single" w:color="BFBFBF" w:sz="2" w:space="0"/>
              <w:right w:val="single" w:color="BFBFBF" w:sz="2" w:space="0"/>
            </w:tcBorders>
            <w:shd w:val="clear" w:color="auto" w:fill="1F4E79"/>
          </w:tcPr>
          <w:p w14:paraId="283993AA">
            <w:pPr/>
            <w:r>
              <w:rPr>
                <w:b/>
                <w:bCs/>
                <w:color w:val="FFFFFF"/>
                <w:sz w:val="18"/>
                <w:szCs w:val="18"/>
              </w:rPr>
              <w:t>Visual (Shot)</w:t>
            </w:r>
          </w:p>
        </w:tc>
        <w:tc>
          <w:tcPr>
            <w:tcW w:w="2600" w:type="dxa"/>
            <w:tcBorders>
              <w:top w:val="single" w:color="BFBFBF" w:sz="2" w:space="0"/>
              <w:left w:val="single" w:color="BFBFBF" w:sz="2" w:space="0"/>
              <w:bottom w:val="single" w:color="BFBFBF" w:sz="2" w:space="0"/>
              <w:right w:val="single" w:color="BFBFBF" w:sz="2" w:space="0"/>
            </w:tcBorders>
            <w:shd w:val="clear" w:color="auto" w:fill="1F4E79"/>
          </w:tcPr>
          <w:p w14:paraId="1F780624">
            <w:pPr/>
            <w:r>
              <w:rPr>
                <w:b/>
                <w:bCs/>
                <w:color w:val="FFFFFF"/>
                <w:sz w:val="18"/>
                <w:szCs w:val="18"/>
              </w:rPr>
              <w:t>Dialogue / VO</w:t>
            </w:r>
          </w:p>
        </w:tc>
        <w:tc>
          <w:tcPr>
            <w:tcW w:w="2680" w:type="dxa"/>
            <w:tcBorders>
              <w:top w:val="single" w:color="BFBFBF" w:sz="2" w:space="0"/>
              <w:left w:val="single" w:color="BFBFBF" w:sz="2" w:space="0"/>
              <w:bottom w:val="single" w:color="BFBFBF" w:sz="2" w:space="0"/>
              <w:right w:val="single" w:color="BFBFBF" w:sz="2" w:space="0"/>
            </w:tcBorders>
            <w:shd w:val="clear" w:color="auto" w:fill="1F4E79"/>
          </w:tcPr>
          <w:p w14:paraId="4AD4F1C3">
            <w:pPr/>
          </w:p>
        </w:tc>
      </w:tr>
      <w:tr w14:paraId="4445681E">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FFF2CC"/>
          </w:tcPr>
          <w:p w14:paraId="2ADCD5ED">
            <w:pPr/>
            <w:r>
              <w:rPr>
                <w:sz w:val="18"/>
                <w:szCs w:val="18"/>
              </w:rPr>
              <w:t>0:00-0:01</w:t>
            </w:r>
          </w:p>
        </w:tc>
        <w:tc>
          <w:tcPr>
            <w:tcW w:w="1300" w:type="dxa"/>
            <w:tcBorders>
              <w:top w:val="single" w:color="BFBFBF" w:sz="2" w:space="0"/>
              <w:left w:val="single" w:color="BFBFBF" w:sz="2" w:space="0"/>
              <w:bottom w:val="single" w:color="BFBFBF" w:sz="2" w:space="0"/>
              <w:right w:val="single" w:color="BFBFBF" w:sz="2" w:space="0"/>
            </w:tcBorders>
            <w:shd w:val="clear" w:color="auto" w:fill="FFF2CC"/>
          </w:tcPr>
          <w:p w14:paraId="79134EA1">
            <w:pPr/>
            <w:r>
              <w:rPr>
                <w:sz w:val="18"/>
                <w:szCs w:val="18"/>
              </w:rPr>
              <w:t>V — VISUAL SHOCK</w:t>
            </w:r>
          </w:p>
        </w:tc>
        <w:tc>
          <w:tcPr>
            <w:tcW w:w="2600" w:type="dxa"/>
            <w:tcBorders>
              <w:top w:val="single" w:color="BFBFBF" w:sz="2" w:space="0"/>
              <w:left w:val="single" w:color="BFBFBF" w:sz="2" w:space="0"/>
              <w:bottom w:val="single" w:color="BFBFBF" w:sz="2" w:space="0"/>
              <w:right w:val="single" w:color="BFBFBF" w:sz="2" w:space="0"/>
            </w:tcBorders>
            <w:shd w:val="clear" w:color="auto" w:fill="FFF2CC"/>
          </w:tcPr>
          <w:p w14:paraId="15A1BF14">
            <w:pPr/>
            <w:r>
              <w:rPr>
                <w:sz w:val="18"/>
                <w:szCs w:val="18"/>
              </w:rPr>
              <w:t>Cut straight to agent standing in a stunning, fully-furnished living room, camera slowly pushing in. No intro, no logo.</w:t>
            </w:r>
          </w:p>
        </w:tc>
        <w:tc>
          <w:tcPr>
            <w:tcW w:w="2600" w:type="dxa"/>
            <w:tcBorders>
              <w:top w:val="single" w:color="BFBFBF" w:sz="2" w:space="0"/>
              <w:left w:val="single" w:color="BFBFBF" w:sz="2" w:space="0"/>
              <w:bottom w:val="single" w:color="BFBFBF" w:sz="2" w:space="0"/>
              <w:right w:val="single" w:color="BFBFBF" w:sz="2" w:space="0"/>
            </w:tcBorders>
            <w:shd w:val="clear" w:color="auto" w:fill="FFF2CC"/>
          </w:tcPr>
          <w:p w14:paraId="5B313E29">
            <w:pPr/>
            <w:r>
              <w:rPr>
                <w:sz w:val="18"/>
                <w:szCs w:val="18"/>
              </w:rPr>
              <w:t>(No dialogue yet — pure visual)</w:t>
            </w:r>
          </w:p>
        </w:tc>
      </w:tr>
      <w:tr w14:paraId="02AC914C">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D9EAD3"/>
          </w:tcPr>
          <w:p w14:paraId="2C5F5D17">
            <w:pPr/>
            <w:r>
              <w:rPr>
                <w:sz w:val="18"/>
                <w:szCs w:val="18"/>
              </w:rPr>
              <w:t>0:01-0:03</w:t>
            </w:r>
          </w:p>
        </w:tc>
        <w:tc>
          <w:tcPr>
            <w:tcW w:w="1300" w:type="dxa"/>
            <w:tcBorders>
              <w:top w:val="single" w:color="BFBFBF" w:sz="2" w:space="0"/>
              <w:left w:val="single" w:color="BFBFBF" w:sz="2" w:space="0"/>
              <w:bottom w:val="single" w:color="BFBFBF" w:sz="2" w:space="0"/>
              <w:right w:val="single" w:color="BFBFBF" w:sz="2" w:space="0"/>
            </w:tcBorders>
            <w:shd w:val="clear" w:color="auto" w:fill="D9EAD3"/>
          </w:tcPr>
          <w:p w14:paraId="12CAC26D">
            <w:pPr/>
            <w:r>
              <w:rPr>
                <w:sz w:val="18"/>
                <w:szCs w:val="18"/>
              </w:rPr>
              <w:t>I — IMMEDIATELY</w:t>
            </w:r>
          </w:p>
        </w:tc>
        <w:tc>
          <w:tcPr>
            <w:tcW w:w="2600" w:type="dxa"/>
            <w:tcBorders>
              <w:top w:val="single" w:color="BFBFBF" w:sz="2" w:space="0"/>
              <w:left w:val="single" w:color="BFBFBF" w:sz="2" w:space="0"/>
              <w:bottom w:val="single" w:color="BFBFBF" w:sz="2" w:space="0"/>
              <w:right w:val="single" w:color="BFBFBF" w:sz="2" w:space="0"/>
            </w:tcBorders>
            <w:shd w:val="clear" w:color="auto" w:fill="D9EAD3"/>
          </w:tcPr>
          <w:p w14:paraId="0EE4B631">
            <w:pPr/>
            <w:r>
              <w:rPr>
                <w:sz w:val="18"/>
                <w:szCs w:val="18"/>
              </w:rPr>
              <w:t>Agent mid-sentence, as if caught already talking. Quick flash cut to a "SOLD — Below Market Value" sign, then back to her.</w:t>
            </w:r>
          </w:p>
        </w:tc>
        <w:tc>
          <w:tcPr>
            <w:tcW w:w="2600" w:type="dxa"/>
            <w:tcBorders>
              <w:top w:val="single" w:color="BFBFBF" w:sz="2" w:space="0"/>
              <w:left w:val="single" w:color="BFBFBF" w:sz="2" w:space="0"/>
              <w:bottom w:val="single" w:color="BFBFBF" w:sz="2" w:space="0"/>
              <w:right w:val="single" w:color="BFBFBF" w:sz="2" w:space="0"/>
            </w:tcBorders>
            <w:shd w:val="clear" w:color="auto" w:fill="D9EAD3"/>
          </w:tcPr>
          <w:p w14:paraId="4B9BC054">
            <w:pPr/>
            <w:r>
              <w:rPr>
                <w:sz w:val="18"/>
                <w:szCs w:val="18"/>
              </w:rPr>
              <w:t>"...and that's the exact mistake that cost this family ₦2 million."</w:t>
            </w:r>
          </w:p>
        </w:tc>
      </w:tr>
      <w:tr w14:paraId="51797842">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FCE4D6"/>
          </w:tcPr>
          <w:p w14:paraId="0A3B03FC">
            <w:pPr/>
            <w:r>
              <w:rPr>
                <w:sz w:val="18"/>
                <w:szCs w:val="18"/>
              </w:rPr>
              <w:t>0:03-0:07</w:t>
            </w:r>
          </w:p>
        </w:tc>
        <w:tc>
          <w:tcPr>
            <w:tcW w:w="1300" w:type="dxa"/>
            <w:tcBorders>
              <w:top w:val="single" w:color="BFBFBF" w:sz="2" w:space="0"/>
              <w:left w:val="single" w:color="BFBFBF" w:sz="2" w:space="0"/>
              <w:bottom w:val="single" w:color="BFBFBF" w:sz="2" w:space="0"/>
              <w:right w:val="single" w:color="BFBFBF" w:sz="2" w:space="0"/>
            </w:tcBorders>
            <w:shd w:val="clear" w:color="auto" w:fill="FCE4D6"/>
          </w:tcPr>
          <w:p w14:paraId="03FF447C">
            <w:pPr/>
            <w:r>
              <w:rPr>
                <w:sz w:val="18"/>
                <w:szCs w:val="18"/>
              </w:rPr>
              <w:t>R — RISING ACTION (pt 1)</w:t>
            </w:r>
          </w:p>
        </w:tc>
        <w:tc>
          <w:tcPr>
            <w:tcW w:w="2600" w:type="dxa"/>
            <w:tcBorders>
              <w:top w:val="single" w:color="BFBFBF" w:sz="2" w:space="0"/>
              <w:left w:val="single" w:color="BFBFBF" w:sz="2" w:space="0"/>
              <w:bottom w:val="single" w:color="BFBFBF" w:sz="2" w:space="0"/>
              <w:right w:val="single" w:color="BFBFBF" w:sz="2" w:space="0"/>
            </w:tcBorders>
            <w:shd w:val="clear" w:color="auto" w:fill="FCE4D6"/>
          </w:tcPr>
          <w:p w14:paraId="17FB83F1">
            <w:pPr/>
            <w:r>
              <w:rPr>
                <w:sz w:val="18"/>
                <w:szCs w:val="18"/>
              </w:rPr>
              <w:t>Cut to phone screen showing a listing with dark, blurry photos.</w:t>
            </w:r>
          </w:p>
        </w:tc>
        <w:tc>
          <w:tcPr>
            <w:tcW w:w="2600" w:type="dxa"/>
            <w:tcBorders>
              <w:top w:val="single" w:color="BFBFBF" w:sz="2" w:space="0"/>
              <w:left w:val="single" w:color="BFBFBF" w:sz="2" w:space="0"/>
              <w:bottom w:val="single" w:color="BFBFBF" w:sz="2" w:space="0"/>
              <w:right w:val="single" w:color="BFBFBF" w:sz="2" w:space="0"/>
            </w:tcBorders>
            <w:shd w:val="clear" w:color="auto" w:fill="FCE4D6"/>
          </w:tcPr>
          <w:p w14:paraId="758ED66B">
            <w:pPr/>
            <w:r>
              <w:rPr>
                <w:sz w:val="18"/>
                <w:szCs w:val="18"/>
              </w:rPr>
              <w:t>"They listed this house themselves, no agent, no professional photos, priced it based on what their neighbor sold theirs for two years ago."</w:t>
            </w:r>
          </w:p>
        </w:tc>
      </w:tr>
      <w:tr w14:paraId="6B72667E">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FCE4D6"/>
          </w:tcPr>
          <w:p w14:paraId="54B3B077">
            <w:pPr/>
            <w:r>
              <w:rPr>
                <w:sz w:val="18"/>
                <w:szCs w:val="18"/>
              </w:rPr>
              <w:t>0:07-0:12</w:t>
            </w:r>
          </w:p>
        </w:tc>
        <w:tc>
          <w:tcPr>
            <w:tcW w:w="1300" w:type="dxa"/>
            <w:tcBorders>
              <w:top w:val="single" w:color="BFBFBF" w:sz="2" w:space="0"/>
              <w:left w:val="single" w:color="BFBFBF" w:sz="2" w:space="0"/>
              <w:bottom w:val="single" w:color="BFBFBF" w:sz="2" w:space="0"/>
              <w:right w:val="single" w:color="BFBFBF" w:sz="2" w:space="0"/>
            </w:tcBorders>
            <w:shd w:val="clear" w:color="auto" w:fill="FCE4D6"/>
          </w:tcPr>
          <w:p w14:paraId="0050CB06">
            <w:pPr/>
            <w:r>
              <w:rPr>
                <w:sz w:val="18"/>
                <w:szCs w:val="18"/>
              </w:rPr>
              <w:t>R — RISING ACTION (pt 2)</w:t>
            </w:r>
          </w:p>
        </w:tc>
        <w:tc>
          <w:tcPr>
            <w:tcW w:w="2600" w:type="dxa"/>
            <w:tcBorders>
              <w:top w:val="single" w:color="BFBFBF" w:sz="2" w:space="0"/>
              <w:left w:val="single" w:color="BFBFBF" w:sz="2" w:space="0"/>
              <w:bottom w:val="single" w:color="BFBFBF" w:sz="2" w:space="0"/>
              <w:right w:val="single" w:color="BFBFBF" w:sz="2" w:space="0"/>
            </w:tcBorders>
            <w:shd w:val="clear" w:color="auto" w:fill="FCE4D6"/>
          </w:tcPr>
          <w:p w14:paraId="0AEDAAF3">
            <w:pPr/>
            <w:r>
              <w:rPr>
                <w:sz w:val="18"/>
                <w:szCs w:val="18"/>
              </w:rPr>
              <w:t>Cut: calendar pages flipping / days crossed off, phone with no notifications.</w:t>
            </w:r>
          </w:p>
        </w:tc>
        <w:tc>
          <w:tcPr>
            <w:tcW w:w="2600" w:type="dxa"/>
            <w:tcBorders>
              <w:top w:val="single" w:color="BFBFBF" w:sz="2" w:space="0"/>
              <w:left w:val="single" w:color="BFBFBF" w:sz="2" w:space="0"/>
              <w:bottom w:val="single" w:color="BFBFBF" w:sz="2" w:space="0"/>
              <w:right w:val="single" w:color="BFBFBF" w:sz="2" w:space="0"/>
            </w:tcBorders>
            <w:shd w:val="clear" w:color="auto" w:fill="FCE4D6"/>
          </w:tcPr>
          <w:p w14:paraId="5B72E822">
            <w:pPr/>
            <w:r>
              <w:rPr>
                <w:sz w:val="18"/>
                <w:szCs w:val="18"/>
              </w:rPr>
              <w:t>"It sat online for four months. Zero calls. By the time they came to us, they were desperate to sell — and desperation always shows in the price."</w:t>
            </w:r>
          </w:p>
        </w:tc>
      </w:tr>
      <w:tr w14:paraId="6BE8F73D">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F4CCCC"/>
          </w:tcPr>
          <w:p w14:paraId="4DCB8E8C">
            <w:pPr/>
            <w:r>
              <w:rPr>
                <w:sz w:val="18"/>
                <w:szCs w:val="18"/>
              </w:rPr>
              <w:t>0:12-0:16</w:t>
            </w:r>
          </w:p>
        </w:tc>
        <w:tc>
          <w:tcPr>
            <w:tcW w:w="1300" w:type="dxa"/>
            <w:tcBorders>
              <w:top w:val="single" w:color="BFBFBF" w:sz="2" w:space="0"/>
              <w:left w:val="single" w:color="BFBFBF" w:sz="2" w:space="0"/>
              <w:bottom w:val="single" w:color="BFBFBF" w:sz="2" w:space="0"/>
              <w:right w:val="single" w:color="BFBFBF" w:sz="2" w:space="0"/>
            </w:tcBorders>
            <w:shd w:val="clear" w:color="auto" w:fill="F4CCCC"/>
          </w:tcPr>
          <w:p w14:paraId="1F0657D4">
            <w:pPr/>
            <w:r>
              <w:rPr>
                <w:sz w:val="18"/>
                <w:szCs w:val="18"/>
              </w:rPr>
              <w:t>A — ANTICIPATION</w:t>
            </w:r>
          </w:p>
        </w:tc>
        <w:tc>
          <w:tcPr>
            <w:tcW w:w="2600" w:type="dxa"/>
            <w:tcBorders>
              <w:top w:val="single" w:color="BFBFBF" w:sz="2" w:space="0"/>
              <w:left w:val="single" w:color="BFBFBF" w:sz="2" w:space="0"/>
              <w:bottom w:val="single" w:color="BFBFBF" w:sz="2" w:space="0"/>
              <w:right w:val="single" w:color="BFBFBF" w:sz="2" w:space="0"/>
            </w:tcBorders>
            <w:shd w:val="clear" w:color="auto" w:fill="F4CCCC"/>
          </w:tcPr>
          <w:p w14:paraId="0BFA856C">
            <w:pPr/>
            <w:r>
              <w:rPr>
                <w:sz w:val="18"/>
                <w:szCs w:val="18"/>
              </w:rPr>
              <w:t>Camera holds on agent's face, slight pause before cutting — no rush to the next beat.</w:t>
            </w:r>
          </w:p>
        </w:tc>
        <w:tc>
          <w:tcPr>
            <w:tcW w:w="2600" w:type="dxa"/>
            <w:tcBorders>
              <w:top w:val="single" w:color="BFBFBF" w:sz="2" w:space="0"/>
              <w:left w:val="single" w:color="BFBFBF" w:sz="2" w:space="0"/>
              <w:bottom w:val="single" w:color="BFBFBF" w:sz="2" w:space="0"/>
              <w:right w:val="single" w:color="BFBFBF" w:sz="2" w:space="0"/>
            </w:tcBorders>
            <w:shd w:val="clear" w:color="auto" w:fill="F4CCCC"/>
          </w:tcPr>
          <w:p w14:paraId="3EB44743">
            <w:pPr/>
            <w:r>
              <w:rPr>
                <w:sz w:val="18"/>
                <w:szCs w:val="18"/>
              </w:rPr>
              <w:t>"So here's what we changed in one week that got them 3 offers—"</w:t>
            </w:r>
          </w:p>
        </w:tc>
      </w:tr>
      <w:tr w14:paraId="01B006B3">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D0E0E3"/>
          </w:tcPr>
          <w:p w14:paraId="7549DD0A">
            <w:pPr/>
            <w:r>
              <w:rPr>
                <w:sz w:val="18"/>
                <w:szCs w:val="18"/>
              </w:rPr>
              <w:t>0:16-0:20</w:t>
            </w:r>
          </w:p>
        </w:tc>
        <w:tc>
          <w:tcPr>
            <w:tcW w:w="1300" w:type="dxa"/>
            <w:tcBorders>
              <w:top w:val="single" w:color="BFBFBF" w:sz="2" w:space="0"/>
              <w:left w:val="single" w:color="BFBFBF" w:sz="2" w:space="0"/>
              <w:bottom w:val="single" w:color="BFBFBF" w:sz="2" w:space="0"/>
              <w:right w:val="single" w:color="BFBFBF" w:sz="2" w:space="0"/>
            </w:tcBorders>
            <w:shd w:val="clear" w:color="auto" w:fill="D0E0E3"/>
          </w:tcPr>
          <w:p w14:paraId="5E82A363">
            <w:pPr/>
            <w:r>
              <w:rPr>
                <w:sz w:val="18"/>
                <w:szCs w:val="18"/>
              </w:rPr>
              <w:t>L — LASTING PAYOFF (pt 1)</w:t>
            </w:r>
          </w:p>
        </w:tc>
        <w:tc>
          <w:tcPr>
            <w:tcW w:w="2600" w:type="dxa"/>
            <w:tcBorders>
              <w:top w:val="single" w:color="BFBFBF" w:sz="2" w:space="0"/>
              <w:left w:val="single" w:color="BFBFBF" w:sz="2" w:space="0"/>
              <w:bottom w:val="single" w:color="BFBFBF" w:sz="2" w:space="0"/>
              <w:right w:val="single" w:color="BFBFBF" w:sz="2" w:space="0"/>
            </w:tcBorders>
            <w:shd w:val="clear" w:color="auto" w:fill="D0E0E3"/>
          </w:tcPr>
          <w:p w14:paraId="64009949">
            <w:pPr/>
            <w:r>
              <w:rPr>
                <w:sz w:val="18"/>
                <w:szCs w:val="18"/>
              </w:rPr>
              <w:t>Quick cuts: professional, bright, staged photos of the same house; phone buzzing with notifications.</w:t>
            </w:r>
          </w:p>
        </w:tc>
        <w:tc>
          <w:tcPr>
            <w:tcW w:w="2600" w:type="dxa"/>
            <w:tcBorders>
              <w:top w:val="single" w:color="BFBFBF" w:sz="2" w:space="0"/>
              <w:left w:val="single" w:color="BFBFBF" w:sz="2" w:space="0"/>
              <w:bottom w:val="single" w:color="BFBFBF" w:sz="2" w:space="0"/>
              <w:right w:val="single" w:color="BFBFBF" w:sz="2" w:space="0"/>
            </w:tcBorders>
            <w:shd w:val="clear" w:color="auto" w:fill="D0E0E3"/>
          </w:tcPr>
          <w:p w14:paraId="48E8A4EA">
            <w:pPr/>
            <w:r>
              <w:rPr>
                <w:sz w:val="18"/>
                <w:szCs w:val="18"/>
              </w:rPr>
              <w:t>"New photos. Repriced based on real comps. Listed on the platforms buyers actually use."</w:t>
            </w:r>
          </w:p>
        </w:tc>
      </w:tr>
      <w:tr w14:paraId="4853533F">
        <w:tblPrEx>
          <w:tblLayout w:type="fixed"/>
        </w:tblPrEx>
        <w:trPr>
          <w:gridAfter w:val="1"/>
          <w:wAfter w:w="2680" w:type="dxa"/>
        </w:trPr>
        <w:tc>
          <w:tcPr>
            <w:tcW w:w="900" w:type="dxa"/>
            <w:tcBorders>
              <w:top w:val="single" w:color="BFBFBF" w:sz="2" w:space="0"/>
              <w:left w:val="single" w:color="BFBFBF" w:sz="2" w:space="0"/>
              <w:bottom w:val="single" w:color="BFBFBF" w:sz="2" w:space="0"/>
              <w:right w:val="single" w:color="BFBFBF" w:sz="2" w:space="0"/>
            </w:tcBorders>
            <w:shd w:val="clear" w:color="auto" w:fill="D0E0E3"/>
          </w:tcPr>
          <w:p w14:paraId="2369CBDA">
            <w:pPr/>
            <w:r>
              <w:rPr>
                <w:sz w:val="18"/>
                <w:szCs w:val="18"/>
              </w:rPr>
              <w:t>0:20-0:24</w:t>
            </w:r>
          </w:p>
        </w:tc>
        <w:tc>
          <w:tcPr>
            <w:tcW w:w="1300" w:type="dxa"/>
            <w:tcBorders>
              <w:top w:val="single" w:color="BFBFBF" w:sz="2" w:space="0"/>
              <w:left w:val="single" w:color="BFBFBF" w:sz="2" w:space="0"/>
              <w:bottom w:val="single" w:color="BFBFBF" w:sz="2" w:space="0"/>
              <w:right w:val="single" w:color="BFBFBF" w:sz="2" w:space="0"/>
            </w:tcBorders>
            <w:shd w:val="clear" w:color="auto" w:fill="D0E0E3"/>
          </w:tcPr>
          <w:p w14:paraId="6F3022EF">
            <w:pPr/>
            <w:r>
              <w:rPr>
                <w:sz w:val="18"/>
                <w:szCs w:val="18"/>
              </w:rPr>
              <w:t>L — LASTING PAYOFF (pt 2)</w:t>
            </w:r>
          </w:p>
        </w:tc>
        <w:tc>
          <w:tcPr>
            <w:tcW w:w="2600" w:type="dxa"/>
            <w:tcBorders>
              <w:top w:val="single" w:color="BFBFBF" w:sz="2" w:space="0"/>
              <w:left w:val="single" w:color="BFBFBF" w:sz="2" w:space="0"/>
              <w:bottom w:val="single" w:color="BFBFBF" w:sz="2" w:space="0"/>
              <w:right w:val="single" w:color="BFBFBF" w:sz="2" w:space="0"/>
            </w:tcBorders>
            <w:shd w:val="clear" w:color="auto" w:fill="D0E0E3"/>
          </w:tcPr>
          <w:p w14:paraId="3CD2F46C">
            <w:pPr/>
            <w:r>
              <w:rPr>
                <w:sz w:val="18"/>
                <w:szCs w:val="18"/>
              </w:rPr>
              <w:t>Final shot: agent direct to camera, confident tone, "Multiple Offers Received" text overlay held on screen.</w:t>
            </w:r>
          </w:p>
        </w:tc>
        <w:tc>
          <w:tcPr>
            <w:tcW w:w="2600" w:type="dxa"/>
            <w:tcBorders>
              <w:top w:val="single" w:color="BFBFBF" w:sz="2" w:space="0"/>
              <w:left w:val="single" w:color="BFBFBF" w:sz="2" w:space="0"/>
              <w:bottom w:val="single" w:color="BFBFBF" w:sz="2" w:space="0"/>
              <w:right w:val="single" w:color="BFBFBF" w:sz="2" w:space="0"/>
            </w:tcBorders>
            <w:shd w:val="clear" w:color="auto" w:fill="D0E0E3"/>
          </w:tcPr>
          <w:p w14:paraId="1C175DB4">
            <w:pPr/>
            <w:r>
              <w:rPr>
                <w:sz w:val="18"/>
                <w:szCs w:val="18"/>
              </w:rPr>
              <w:t>"They sold for ₦2 million more than their first asking price — in nine days. If you're about to list your place yourself, message me before you post it."</w:t>
            </w:r>
          </w:p>
        </w:tc>
      </w:tr>
    </w:tbl>
    <w:p w14:paraId="5AC40244">
      <w:pPr>
        <w:spacing w:before="320" w:after="120"/>
      </w:pPr>
      <w:r>
        <w:rPr>
          <w:b/>
          <w:bCs/>
          <w:color w:val="1F4E79"/>
          <w:sz w:val="28"/>
          <w:szCs w:val="28"/>
        </w:rPr>
        <w:t>WHY THIS WORKS (VIRAL FORMULA APPLIED)</w:t>
      </w:r>
    </w:p>
    <w:p w14:paraId="53C80DF3">
      <w:pPr>
        <w:spacing w:after="160"/>
      </w:pPr>
      <w:r>
        <w:rPr>
          <w:sz w:val="22"/>
          <w:szCs w:val="22"/>
        </w:rPr>
        <w:t>• Visual Shock: Opens on a fully staged, attractive room instead of a logo or intro — the video has to be visually engaging within the first second to survive the scroll.</w:t>
      </w:r>
    </w:p>
    <w:p w14:paraId="0A43E655">
      <w:pPr>
        <w:spacing w:after="160"/>
      </w:pPr>
      <w:r>
        <w:rPr>
          <w:sz w:val="22"/>
          <w:szCs w:val="22"/>
        </w:rPr>
        <w:t>• Immediately: Skips all setup and starts mid-sentence at the peak action (the costly mistake), rather than building up to it slowly.</w:t>
      </w:r>
    </w:p>
    <w:p w14:paraId="0091A614">
      <w:pPr>
        <w:spacing w:after="160"/>
      </w:pPr>
      <w:r>
        <w:rPr>
          <w:sz w:val="22"/>
          <w:szCs w:val="22"/>
        </w:rPr>
        <w:t>• Rising Action: Stacks two quick beats (bad photos, then silence/no calls) that escalate the problem before any resolution is offered.</w:t>
      </w:r>
    </w:p>
    <w:p w14:paraId="23D152D6">
      <w:pPr>
        <w:spacing w:after="160"/>
      </w:pPr>
      <w:r>
        <w:rPr>
          <w:sz w:val="22"/>
          <w:szCs w:val="22"/>
        </w:rPr>
        <w:t>• Anticipation: A deliberate pause before revealing the fix creates a short gap the viewer wants filled — this is the moment retention is either won or lost.</w:t>
      </w:r>
    </w:p>
    <w:p w14:paraId="7FD3B087">
      <w:pPr>
        <w:spacing w:after="160"/>
      </w:pPr>
      <w:r>
        <w:rPr>
          <w:sz w:val="22"/>
          <w:szCs w:val="22"/>
        </w:rPr>
        <w:t>• Lasting Payoff: The resolution is specific and concrete (₦2m more, 9 days) rather than vague, and ends on a direct, low-pressure CTA.</w:t>
      </w:r>
    </w:p>
    <w:p w14:paraId="33580DB2">
      <w:pPr>
        <w:spacing w:before="320" w:after="120"/>
      </w:pPr>
      <w:r>
        <w:rPr>
          <w:b/>
          <w:bCs/>
          <w:color w:val="1F4E79"/>
          <w:sz w:val="28"/>
          <w:szCs w:val="28"/>
        </w:rPr>
        <w:t>SUBMISSION</w:t>
      </w:r>
      <w:bookmarkStart w:id="0" w:name="_GoBack"/>
      <w:bookmarkEnd w:id="0"/>
    </w:p>
    <w:p w14:paraId="44062728">
      <w:pPr>
        <w:spacing w:after="160"/>
      </w:pPr>
      <w:r>
        <w:rPr>
          <w:sz w:val="22"/>
          <w:szCs w:val="22"/>
        </w:rPr>
        <w:t>Explanation: This storyboard applies Jenny Hoyos' VIRAL formula to a real estate case-study story. The video opens on visual shock (a staged room, no intro), jumps immediately into the peak moment (the costly mistake), escalates through rising action (bad photos, radio silence), holds a brief anticipation beat before the fix, and closes with a lasting, specific payoff and direct call to action.</w:t>
      </w:r>
    </w:p>
    <w:sectPr>
      <w:pgSz w:w="12240" w:h="15840"/>
      <w:pgMar w:top="1080" w:right="1080" w:bottom="1080" w:left="1080" w:header="708" w:footer="708" w:gutter="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ompat>
    <w:compatSetting w:name="compatibilityMode" w:uri="http://schemas.microsoft.com/office/word" w:val="15"/>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11">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8">
    <w:name w:val="endnote text"/>
    <w:link w:val="19"/>
    <w:unhideWhenUsed/>
    <w:uiPriority w:val="99"/>
    <w:pPr>
      <w:spacing w:after="0" w:line="240" w:lineRule="auto"/>
    </w:pPr>
    <w:rPr>
      <w:sz w:val="20"/>
      <w:szCs w:val="20"/>
    </w:rPr>
  </w:style>
  <w:style w:type="paragraph" w:styleId="9">
    <w:name w:val="footnote text"/>
    <w:link w:val="18"/>
    <w:unhideWhenUsed/>
    <w:uiPriority w:val="99"/>
    <w:pPr>
      <w:spacing w:after="0" w:line="240" w:lineRule="auto"/>
    </w:pPr>
    <w:rPr>
      <w:sz w:val="20"/>
      <w:szCs w:val="20"/>
    </w:rPr>
  </w:style>
  <w:style w:type="paragraph" w:styleId="10">
    <w:name w:val="Title"/>
    <w:qFormat/>
    <w:uiPriority w:val="0"/>
    <w:rPr>
      <w:sz w:val="56"/>
      <w:szCs w:val="56"/>
    </w:rPr>
  </w:style>
  <w:style w:type="character" w:styleId="12">
    <w:name w:val="endnote reference"/>
    <w:unhideWhenUsed/>
    <w:uiPriority w:val="99"/>
    <w:rPr>
      <w:vertAlign w:val="superscript"/>
    </w:rPr>
  </w:style>
  <w:style w:type="character" w:styleId="13">
    <w:name w:val="footnote reference"/>
    <w:unhideWhenUsed/>
    <w:uiPriority w:val="99"/>
    <w:rPr>
      <w:vertAlign w:val="superscript"/>
    </w:rPr>
  </w:style>
  <w:style w:type="character" w:styleId="14">
    <w:name w:val="Hyperlink"/>
    <w:unhideWhenUsed/>
    <w:uiPriority w:val="99"/>
    <w:rPr>
      <w:color w:val="0563C1"/>
      <w:u w:val="single"/>
    </w:rPr>
  </w:style>
  <w:style w:type="paragraph" w:customStyle="1" w:styleId="16">
    <w:name w:val="Strong1"/>
    <w:qFormat/>
    <w:uiPriority w:val="0"/>
    <w:rPr>
      <w:b/>
      <w:bCs/>
      <w:sz w:val="21"/>
      <w:szCs w:val="22"/>
    </w:rPr>
  </w:style>
  <w:style w:type="paragraph" w:customStyle="1" w:styleId="17">
    <w:name w:val="List Paragraph"/>
    <w:qFormat/>
    <w:uiPriority w:val="0"/>
    <w:rPr>
      <w:sz w:val="21"/>
      <w:szCs w:val="22"/>
    </w:rPr>
  </w:style>
  <w:style w:type="character" w:customStyle="1" w:styleId="18">
    <w:name w:val="Footnote Text Char"/>
    <w:link w:val="9"/>
    <w:unhideWhenUsed/>
    <w:uiPriority w:val="99"/>
    <w:rPr>
      <w:sz w:val="20"/>
      <w:szCs w:val="20"/>
    </w:rPr>
  </w:style>
  <w:style w:type="character" w:customStyle="1" w:styleId="19">
    <w:name w:val="Endnote Text Char"/>
    <w:link w:val="8"/>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1900-01-00T00:00:00Z</dcterms:created>
  <dc:creator>Un-named</dc:creator>
  <cp:lastModifiedBy>iPhone</cp:lastModifiedBy>
  <dcterms:modified xsi:type="dcterms:W3CDTF">2026-07-27T19:53:28Z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5C57319E2193930A10A9676A6E3930E0_31</vt:lpwstr>
  </property>
  <property fmtid="{D5CDD505-2E9C-101B-9397-08002B2CF9AE}" pid="3" name="KSOProductBuildVer">
    <vt:lpwstr>3081-26.7.0</vt:lpwstr>
  </property>
</Properties>
</file>